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7C" w:rsidRDefault="00BE6814" w:rsidP="00BE6814">
      <w:pPr>
        <w:jc w:val="center"/>
      </w:pPr>
      <w:bookmarkStart w:id="0" w:name="_GoBack"/>
      <w:bookmarkEnd w:id="0"/>
      <w:r w:rsidRPr="00BE6814">
        <w:rPr>
          <w:noProof/>
          <w:sz w:val="160"/>
        </w:rPr>
        <w:drawing>
          <wp:anchor distT="114300" distB="114300" distL="114300" distR="114300" simplePos="0" relativeHeight="251659264" behindDoc="0" locked="0" layoutInCell="1" hidden="0" allowOverlap="1" wp14:anchorId="248A770C" wp14:editId="6F05BC68">
            <wp:simplePos x="0" y="0"/>
            <wp:positionH relativeFrom="margin">
              <wp:posOffset>590550</wp:posOffset>
            </wp:positionH>
            <wp:positionV relativeFrom="paragraph">
              <wp:posOffset>0</wp:posOffset>
            </wp:positionV>
            <wp:extent cx="4025900" cy="1111250"/>
            <wp:effectExtent l="0" t="0" r="0" b="0"/>
            <wp:wrapTopAndBottom distT="114300" distB="11430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a:srcRect/>
                    <a:stretch>
                      <a:fillRect/>
                    </a:stretch>
                  </pic:blipFill>
                  <pic:spPr>
                    <a:xfrm>
                      <a:off x="0" y="0"/>
                      <a:ext cx="4025900" cy="1111250"/>
                    </a:xfrm>
                    <a:prstGeom prst="rect">
                      <a:avLst/>
                    </a:prstGeom>
                    <a:ln/>
                  </pic:spPr>
                </pic:pic>
              </a:graphicData>
            </a:graphic>
            <wp14:sizeRelH relativeFrom="margin">
              <wp14:pctWidth>0</wp14:pctWidth>
            </wp14:sizeRelH>
            <wp14:sizeRelV relativeFrom="margin">
              <wp14:pctHeight>0</wp14:pctHeight>
            </wp14:sizeRelV>
          </wp:anchor>
        </w:drawing>
      </w:r>
      <w:r w:rsidRPr="00BE6814">
        <w:rPr>
          <w:sz w:val="36"/>
        </w:rPr>
        <w:t>Pharmacy Technology Checklist</w:t>
      </w:r>
    </w:p>
    <w:p w:rsidR="00BE6814" w:rsidRDefault="00BE6814" w:rsidP="00BE6814">
      <w:pPr>
        <w:tabs>
          <w:tab w:val="left" w:pos="2350"/>
        </w:tabs>
      </w:pPr>
      <w:r>
        <w:tab/>
      </w:r>
    </w:p>
    <w:p w:rsidR="00BE6814" w:rsidRDefault="00BE6814"/>
    <w:p w:rsidR="00BE6814" w:rsidRPr="00B80392" w:rsidRDefault="00BE6814" w:rsidP="00BE6814">
      <w:pPr>
        <w:shd w:val="clear" w:color="auto" w:fill="D9D9D9" w:themeFill="background1" w:themeFillShade="D9"/>
        <w:ind w:left="0"/>
        <w:rPr>
          <w:b/>
          <w:sz w:val="24"/>
          <w:szCs w:val="24"/>
        </w:rPr>
      </w:pPr>
      <w:r w:rsidRPr="00B80392">
        <w:rPr>
          <w:b/>
          <w:sz w:val="24"/>
          <w:szCs w:val="24"/>
        </w:rPr>
        <w:t xml:space="preserve">Application Process </w:t>
      </w:r>
    </w:p>
    <w:p w:rsidR="00BE6814" w:rsidRPr="00B80392" w:rsidRDefault="00BE6814" w:rsidP="00BE6814">
      <w:pPr>
        <w:ind w:left="0"/>
        <w:contextualSpacing w:val="0"/>
        <w:rPr>
          <w:sz w:val="24"/>
          <w:szCs w:val="24"/>
        </w:rPr>
      </w:pP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tab/>
      </w:r>
      <w:r w:rsidRPr="00B80392">
        <w:rPr>
          <w:sz w:val="24"/>
          <w:szCs w:val="24"/>
        </w:rPr>
        <w:br/>
        <w:t xml:space="preserve">The application process for the Twin Rivers Pharmacy Technology Program is a multi-step process. You will be give information from your Twin Rivers representative regarding requirements and deadlines for </w:t>
      </w:r>
      <w:proofErr w:type="gramStart"/>
      <w:r w:rsidRPr="00B80392">
        <w:rPr>
          <w:sz w:val="24"/>
          <w:szCs w:val="24"/>
        </w:rPr>
        <w:t>Twin Rivers</w:t>
      </w:r>
      <w:proofErr w:type="gramEnd"/>
      <w:r w:rsidRPr="00B80392">
        <w:rPr>
          <w:sz w:val="24"/>
          <w:szCs w:val="24"/>
        </w:rPr>
        <w:t xml:space="preserve"> applications.  In addition to the Twin Rivers documents, the following are required to complete the application for Pharmacy Technology: </w:t>
      </w:r>
      <w:r w:rsidRPr="00B80392">
        <w:rPr>
          <w:sz w:val="24"/>
          <w:szCs w:val="24"/>
        </w:rPr>
        <w:br/>
      </w:r>
      <w:r w:rsidRPr="00B80392">
        <w:rPr>
          <w:sz w:val="24"/>
          <w:szCs w:val="24"/>
        </w:rPr>
        <w:br/>
      </w:r>
      <w:r>
        <w:rPr>
          <w:sz w:val="24"/>
          <w:szCs w:val="24"/>
        </w:rPr>
        <w:t>_____</w:t>
      </w:r>
      <w:r w:rsidRPr="00B80392">
        <w:rPr>
          <w:sz w:val="24"/>
          <w:szCs w:val="24"/>
        </w:rPr>
        <w:t xml:space="preserve">Completed Vincennes University Application </w:t>
      </w:r>
      <w:r w:rsidRPr="00B80392">
        <w:rPr>
          <w:sz w:val="24"/>
          <w:szCs w:val="24"/>
        </w:rPr>
        <w:br/>
      </w:r>
      <w:r>
        <w:rPr>
          <w:sz w:val="24"/>
          <w:szCs w:val="24"/>
        </w:rPr>
        <w:t>_____</w:t>
      </w:r>
      <w:r w:rsidRPr="00B80392">
        <w:rPr>
          <w:sz w:val="24"/>
          <w:szCs w:val="24"/>
        </w:rPr>
        <w:t xml:space="preserve">Completed Pharmacy Technology Application </w:t>
      </w:r>
      <w:r w:rsidRPr="00B80392">
        <w:rPr>
          <w:sz w:val="24"/>
          <w:szCs w:val="24"/>
        </w:rPr>
        <w:br/>
      </w:r>
      <w:r>
        <w:rPr>
          <w:sz w:val="24"/>
          <w:szCs w:val="24"/>
        </w:rPr>
        <w:t>_____</w:t>
      </w:r>
      <w:r w:rsidRPr="00B80392">
        <w:rPr>
          <w:sz w:val="24"/>
          <w:szCs w:val="24"/>
        </w:rPr>
        <w:t>Submit a copy of your high school transcript with application materials</w:t>
      </w:r>
      <w:r w:rsidRPr="00B80392">
        <w:rPr>
          <w:sz w:val="24"/>
          <w:szCs w:val="24"/>
        </w:rPr>
        <w:br/>
      </w:r>
      <w:r>
        <w:rPr>
          <w:sz w:val="24"/>
          <w:szCs w:val="24"/>
        </w:rPr>
        <w:t>_____</w:t>
      </w:r>
      <w:r w:rsidRPr="00B80392">
        <w:rPr>
          <w:sz w:val="24"/>
          <w:szCs w:val="24"/>
        </w:rPr>
        <w:t xml:space="preserve">Complete the Accuplacer/ACT/and or SAT and have scores on file at Vincennes University or submit copy of official test scores.  The highest score from all test results will be utilized to determine admission.  </w:t>
      </w:r>
      <w:r>
        <w:rPr>
          <w:sz w:val="24"/>
          <w:szCs w:val="24"/>
        </w:rPr>
        <w:t xml:space="preserve">Applicants that have a minimum cumulative high school GPA of 2.5 (on a standard 4.0 scale) who have completed Algebra II with a grade of C- or better do not have to have Accuplacer scores.  </w:t>
      </w:r>
    </w:p>
    <w:p w:rsidR="00BE6814" w:rsidRPr="00B80392" w:rsidRDefault="00BE6814" w:rsidP="00BE6814">
      <w:pPr>
        <w:ind w:left="0"/>
        <w:contextualSpacing w:val="0"/>
        <w:rPr>
          <w:sz w:val="24"/>
          <w:szCs w:val="24"/>
        </w:rPr>
      </w:pPr>
      <w:r w:rsidRPr="00B80392">
        <w:rPr>
          <w:sz w:val="24"/>
          <w:szCs w:val="24"/>
        </w:rPr>
        <w:t>Required Scores:</w:t>
      </w:r>
    </w:p>
    <w:tbl>
      <w:tblPr>
        <w:tblStyle w:val="TableGrid"/>
        <w:tblW w:w="0" w:type="auto"/>
        <w:tblInd w:w="-5" w:type="dxa"/>
        <w:tblLook w:val="04A0" w:firstRow="1" w:lastRow="0" w:firstColumn="1" w:lastColumn="0" w:noHBand="0" w:noVBand="1"/>
      </w:tblPr>
      <w:tblGrid>
        <w:gridCol w:w="1980"/>
        <w:gridCol w:w="1440"/>
        <w:gridCol w:w="3060"/>
        <w:gridCol w:w="2875"/>
      </w:tblGrid>
      <w:tr w:rsidR="00BE6814" w:rsidRPr="00B80392" w:rsidTr="00F82E92">
        <w:tc>
          <w:tcPr>
            <w:tcW w:w="1980" w:type="dxa"/>
          </w:tcPr>
          <w:p w:rsidR="00BE6814" w:rsidRPr="00B80392" w:rsidRDefault="00BE6814" w:rsidP="00F82E92">
            <w:pPr>
              <w:shd w:val="clear" w:color="auto" w:fill="auto"/>
              <w:ind w:left="0"/>
              <w:contextualSpacing w:val="0"/>
              <w:rPr>
                <w:sz w:val="24"/>
                <w:szCs w:val="24"/>
              </w:rPr>
            </w:pPr>
          </w:p>
        </w:tc>
        <w:tc>
          <w:tcPr>
            <w:tcW w:w="1440" w:type="dxa"/>
          </w:tcPr>
          <w:p w:rsidR="00BE6814" w:rsidRPr="00B80392" w:rsidRDefault="00BE6814" w:rsidP="00F82E92">
            <w:pPr>
              <w:shd w:val="clear" w:color="auto" w:fill="auto"/>
              <w:ind w:left="0"/>
              <w:contextualSpacing w:val="0"/>
              <w:rPr>
                <w:sz w:val="24"/>
                <w:szCs w:val="24"/>
              </w:rPr>
            </w:pPr>
            <w:r w:rsidRPr="00B80392">
              <w:rPr>
                <w:sz w:val="24"/>
                <w:szCs w:val="24"/>
              </w:rPr>
              <w:t xml:space="preserve">Math </w:t>
            </w:r>
          </w:p>
        </w:tc>
        <w:tc>
          <w:tcPr>
            <w:tcW w:w="3060" w:type="dxa"/>
          </w:tcPr>
          <w:p w:rsidR="00BE6814" w:rsidRPr="00B80392" w:rsidRDefault="00BE6814" w:rsidP="00F82E92">
            <w:pPr>
              <w:shd w:val="clear" w:color="auto" w:fill="auto"/>
              <w:ind w:left="0"/>
              <w:contextualSpacing w:val="0"/>
              <w:rPr>
                <w:sz w:val="24"/>
                <w:szCs w:val="24"/>
              </w:rPr>
            </w:pPr>
            <w:r w:rsidRPr="00B80392">
              <w:rPr>
                <w:sz w:val="24"/>
                <w:szCs w:val="24"/>
              </w:rPr>
              <w:t xml:space="preserve">English/Writing </w:t>
            </w:r>
          </w:p>
        </w:tc>
        <w:tc>
          <w:tcPr>
            <w:tcW w:w="2875" w:type="dxa"/>
          </w:tcPr>
          <w:p w:rsidR="00BE6814" w:rsidRPr="00B80392" w:rsidRDefault="00BE6814" w:rsidP="00F82E92">
            <w:pPr>
              <w:shd w:val="clear" w:color="auto" w:fill="auto"/>
              <w:ind w:left="0"/>
              <w:contextualSpacing w:val="0"/>
              <w:rPr>
                <w:sz w:val="24"/>
                <w:szCs w:val="24"/>
              </w:rPr>
            </w:pPr>
            <w:r w:rsidRPr="00B80392">
              <w:rPr>
                <w:sz w:val="24"/>
                <w:szCs w:val="24"/>
              </w:rPr>
              <w:t xml:space="preserve">Reading </w:t>
            </w:r>
          </w:p>
        </w:tc>
      </w:tr>
      <w:tr w:rsidR="00BE6814" w:rsidRPr="00B80392" w:rsidTr="00F82E92">
        <w:tc>
          <w:tcPr>
            <w:tcW w:w="1980" w:type="dxa"/>
          </w:tcPr>
          <w:p w:rsidR="00BE6814" w:rsidRPr="00B80392" w:rsidRDefault="00BE6814" w:rsidP="00F82E92">
            <w:pPr>
              <w:shd w:val="clear" w:color="auto" w:fill="auto"/>
              <w:ind w:left="0"/>
              <w:contextualSpacing w:val="0"/>
              <w:rPr>
                <w:sz w:val="24"/>
                <w:szCs w:val="24"/>
              </w:rPr>
            </w:pPr>
            <w:r w:rsidRPr="00B80392">
              <w:rPr>
                <w:sz w:val="24"/>
                <w:szCs w:val="24"/>
              </w:rPr>
              <w:t>SAT</w:t>
            </w:r>
          </w:p>
        </w:tc>
        <w:tc>
          <w:tcPr>
            <w:tcW w:w="1440" w:type="dxa"/>
          </w:tcPr>
          <w:p w:rsidR="00BE6814" w:rsidRPr="00B80392" w:rsidRDefault="00BE6814" w:rsidP="00F82E92">
            <w:pPr>
              <w:shd w:val="clear" w:color="auto" w:fill="auto"/>
              <w:ind w:left="0"/>
              <w:contextualSpacing w:val="0"/>
              <w:rPr>
                <w:sz w:val="24"/>
                <w:szCs w:val="24"/>
              </w:rPr>
            </w:pPr>
            <w:r w:rsidRPr="00B80392">
              <w:rPr>
                <w:sz w:val="24"/>
                <w:szCs w:val="24"/>
              </w:rPr>
              <w:t>560+</w:t>
            </w:r>
          </w:p>
        </w:tc>
        <w:tc>
          <w:tcPr>
            <w:tcW w:w="3060" w:type="dxa"/>
          </w:tcPr>
          <w:p w:rsidR="00BE6814" w:rsidRPr="00B80392" w:rsidRDefault="00BE6814" w:rsidP="00F82E92">
            <w:pPr>
              <w:shd w:val="clear" w:color="auto" w:fill="auto"/>
              <w:ind w:left="0"/>
              <w:contextualSpacing w:val="0"/>
              <w:rPr>
                <w:sz w:val="24"/>
                <w:szCs w:val="24"/>
              </w:rPr>
            </w:pPr>
            <w:r w:rsidRPr="00B80392">
              <w:rPr>
                <w:sz w:val="24"/>
                <w:szCs w:val="24"/>
              </w:rPr>
              <w:t>W 25+    -or-</w:t>
            </w:r>
            <w:r w:rsidRPr="00B80392">
              <w:rPr>
                <w:sz w:val="24"/>
                <w:szCs w:val="24"/>
              </w:rPr>
              <w:br/>
              <w:t>evidence based R/W 510+</w:t>
            </w:r>
          </w:p>
        </w:tc>
        <w:tc>
          <w:tcPr>
            <w:tcW w:w="2875" w:type="dxa"/>
          </w:tcPr>
          <w:p w:rsidR="00BE6814" w:rsidRPr="00B80392" w:rsidRDefault="00BE6814" w:rsidP="00F82E92">
            <w:pPr>
              <w:shd w:val="clear" w:color="auto" w:fill="auto"/>
              <w:ind w:left="0"/>
              <w:contextualSpacing w:val="0"/>
              <w:rPr>
                <w:sz w:val="24"/>
                <w:szCs w:val="24"/>
              </w:rPr>
            </w:pPr>
            <w:r w:rsidRPr="00B80392">
              <w:rPr>
                <w:sz w:val="24"/>
                <w:szCs w:val="24"/>
              </w:rPr>
              <w:t>23+</w:t>
            </w:r>
          </w:p>
        </w:tc>
      </w:tr>
      <w:tr w:rsidR="00BE6814" w:rsidRPr="00B80392" w:rsidTr="00F82E92">
        <w:tc>
          <w:tcPr>
            <w:tcW w:w="1980" w:type="dxa"/>
          </w:tcPr>
          <w:p w:rsidR="00BE6814" w:rsidRPr="00B80392" w:rsidRDefault="00BE6814" w:rsidP="00F82E92">
            <w:pPr>
              <w:shd w:val="clear" w:color="auto" w:fill="auto"/>
              <w:ind w:left="0"/>
              <w:contextualSpacing w:val="0"/>
              <w:rPr>
                <w:sz w:val="24"/>
                <w:szCs w:val="24"/>
              </w:rPr>
            </w:pPr>
            <w:r w:rsidRPr="00B80392">
              <w:rPr>
                <w:sz w:val="24"/>
                <w:szCs w:val="24"/>
              </w:rPr>
              <w:t>ACT</w:t>
            </w:r>
          </w:p>
        </w:tc>
        <w:tc>
          <w:tcPr>
            <w:tcW w:w="1440" w:type="dxa"/>
          </w:tcPr>
          <w:p w:rsidR="00BE6814" w:rsidRPr="00B80392" w:rsidRDefault="00BE6814" w:rsidP="00F82E92">
            <w:pPr>
              <w:shd w:val="clear" w:color="auto" w:fill="auto"/>
              <w:ind w:left="0"/>
              <w:contextualSpacing w:val="0"/>
              <w:rPr>
                <w:sz w:val="24"/>
                <w:szCs w:val="24"/>
              </w:rPr>
            </w:pPr>
            <w:r w:rsidRPr="00B80392">
              <w:rPr>
                <w:sz w:val="24"/>
                <w:szCs w:val="24"/>
              </w:rPr>
              <w:t>22+</w:t>
            </w:r>
          </w:p>
        </w:tc>
        <w:tc>
          <w:tcPr>
            <w:tcW w:w="3060" w:type="dxa"/>
          </w:tcPr>
          <w:p w:rsidR="00BE6814" w:rsidRPr="00B80392" w:rsidRDefault="00BE6814" w:rsidP="00F82E92">
            <w:pPr>
              <w:shd w:val="clear" w:color="auto" w:fill="auto"/>
              <w:ind w:left="0"/>
              <w:contextualSpacing w:val="0"/>
              <w:rPr>
                <w:sz w:val="24"/>
                <w:szCs w:val="24"/>
              </w:rPr>
            </w:pPr>
            <w:r w:rsidRPr="00B80392">
              <w:rPr>
                <w:sz w:val="24"/>
                <w:szCs w:val="24"/>
              </w:rPr>
              <w:t>English 18+</w:t>
            </w:r>
          </w:p>
        </w:tc>
        <w:tc>
          <w:tcPr>
            <w:tcW w:w="2875" w:type="dxa"/>
          </w:tcPr>
          <w:p w:rsidR="00BE6814" w:rsidRPr="00B80392" w:rsidRDefault="00BE6814" w:rsidP="00F82E92">
            <w:pPr>
              <w:shd w:val="clear" w:color="auto" w:fill="auto"/>
              <w:ind w:left="0"/>
              <w:contextualSpacing w:val="0"/>
              <w:rPr>
                <w:sz w:val="24"/>
                <w:szCs w:val="24"/>
              </w:rPr>
            </w:pPr>
            <w:r w:rsidRPr="00B80392">
              <w:rPr>
                <w:sz w:val="24"/>
                <w:szCs w:val="24"/>
              </w:rPr>
              <w:t>21+</w:t>
            </w:r>
          </w:p>
        </w:tc>
      </w:tr>
      <w:tr w:rsidR="00BE6814" w:rsidRPr="00B80392" w:rsidTr="00F82E92">
        <w:tc>
          <w:tcPr>
            <w:tcW w:w="1980" w:type="dxa"/>
          </w:tcPr>
          <w:p w:rsidR="00BE6814" w:rsidRPr="00B80392" w:rsidRDefault="00BE6814" w:rsidP="00F82E92">
            <w:pPr>
              <w:shd w:val="clear" w:color="auto" w:fill="auto"/>
              <w:ind w:left="0"/>
              <w:contextualSpacing w:val="0"/>
              <w:rPr>
                <w:sz w:val="24"/>
                <w:szCs w:val="24"/>
              </w:rPr>
            </w:pPr>
            <w:r w:rsidRPr="00B80392">
              <w:rPr>
                <w:sz w:val="24"/>
                <w:szCs w:val="24"/>
              </w:rPr>
              <w:t xml:space="preserve">Accuplacer </w:t>
            </w:r>
            <w:r w:rsidRPr="00B80392">
              <w:rPr>
                <w:sz w:val="24"/>
                <w:szCs w:val="24"/>
              </w:rPr>
              <w:br/>
              <w:t xml:space="preserve">(next generation) </w:t>
            </w:r>
          </w:p>
        </w:tc>
        <w:tc>
          <w:tcPr>
            <w:tcW w:w="1440" w:type="dxa"/>
          </w:tcPr>
          <w:p w:rsidR="00BE6814" w:rsidRPr="00B80392" w:rsidRDefault="00BE6814" w:rsidP="00F82E92">
            <w:pPr>
              <w:shd w:val="clear" w:color="auto" w:fill="auto"/>
              <w:ind w:left="0"/>
              <w:contextualSpacing w:val="0"/>
              <w:rPr>
                <w:sz w:val="24"/>
                <w:szCs w:val="24"/>
              </w:rPr>
            </w:pPr>
            <w:r w:rsidRPr="00B80392">
              <w:rPr>
                <w:sz w:val="24"/>
                <w:szCs w:val="24"/>
              </w:rPr>
              <w:t>QAS 245+</w:t>
            </w:r>
            <w:r w:rsidRPr="00B80392">
              <w:rPr>
                <w:sz w:val="24"/>
                <w:szCs w:val="24"/>
              </w:rPr>
              <w:br/>
              <w:t>AAF 240+</w:t>
            </w:r>
          </w:p>
        </w:tc>
        <w:tc>
          <w:tcPr>
            <w:tcW w:w="5935" w:type="dxa"/>
            <w:gridSpan w:val="2"/>
          </w:tcPr>
          <w:p w:rsidR="00BE6814" w:rsidRPr="00B80392" w:rsidRDefault="00BE6814" w:rsidP="00F82E92">
            <w:pPr>
              <w:shd w:val="clear" w:color="auto" w:fill="auto"/>
              <w:ind w:left="0"/>
              <w:contextualSpacing w:val="0"/>
              <w:rPr>
                <w:sz w:val="24"/>
                <w:szCs w:val="24"/>
              </w:rPr>
            </w:pPr>
            <w:r w:rsidRPr="00B80392">
              <w:rPr>
                <w:sz w:val="24"/>
                <w:szCs w:val="24"/>
              </w:rPr>
              <w:t>Reading/Writing 250+</w:t>
            </w:r>
          </w:p>
        </w:tc>
      </w:tr>
    </w:tbl>
    <w:p w:rsidR="00BE6814" w:rsidRPr="00B80392" w:rsidRDefault="00BE6814" w:rsidP="00BE6814">
      <w:pPr>
        <w:ind w:left="0"/>
        <w:contextualSpacing w:val="0"/>
        <w:rPr>
          <w:sz w:val="24"/>
          <w:szCs w:val="24"/>
        </w:rPr>
      </w:pPr>
    </w:p>
    <w:p w:rsidR="00BE6814" w:rsidRPr="00B80392" w:rsidRDefault="00BE6814" w:rsidP="00BE6814">
      <w:pPr>
        <w:ind w:left="0"/>
        <w:contextualSpacing w:val="0"/>
        <w:rPr>
          <w:sz w:val="24"/>
          <w:szCs w:val="24"/>
        </w:rPr>
      </w:pPr>
      <w:r w:rsidRPr="00B80392">
        <w:rPr>
          <w:sz w:val="24"/>
          <w:szCs w:val="24"/>
        </w:rPr>
        <w:t>Applications cannot be evaluated until all appli</w:t>
      </w:r>
      <w:r>
        <w:rPr>
          <w:sz w:val="24"/>
          <w:szCs w:val="24"/>
        </w:rPr>
        <w:t xml:space="preserve">cation materials are on file. </w:t>
      </w:r>
      <w:r w:rsidRPr="00B80392">
        <w:rPr>
          <w:sz w:val="24"/>
          <w:szCs w:val="24"/>
        </w:rPr>
        <w:t>All communication from the Pharmacy Technology Pr</w:t>
      </w:r>
      <w:r>
        <w:rPr>
          <w:sz w:val="24"/>
          <w:szCs w:val="24"/>
        </w:rPr>
        <w:t xml:space="preserve">ogram will be sent via email. </w:t>
      </w:r>
      <w:r w:rsidRPr="00B80392">
        <w:rPr>
          <w:sz w:val="24"/>
          <w:szCs w:val="24"/>
        </w:rPr>
        <w:t xml:space="preserve">Please be sure to provide an email address that is frequently checked.  </w:t>
      </w:r>
    </w:p>
    <w:p w:rsidR="00BE6814" w:rsidRPr="00B80392" w:rsidRDefault="00BE6814" w:rsidP="00BE6814">
      <w:pPr>
        <w:ind w:left="0"/>
        <w:contextualSpacing w:val="0"/>
        <w:rPr>
          <w:sz w:val="24"/>
          <w:szCs w:val="24"/>
        </w:rPr>
      </w:pPr>
      <w:r w:rsidRPr="00B80392">
        <w:rPr>
          <w:b/>
          <w:sz w:val="24"/>
          <w:szCs w:val="24"/>
        </w:rPr>
        <w:t>Admission requirements</w:t>
      </w:r>
      <w:r w:rsidRPr="00B80392">
        <w:rPr>
          <w:sz w:val="24"/>
          <w:szCs w:val="24"/>
        </w:rPr>
        <w:br/>
      </w:r>
      <w:r w:rsidRPr="00B80392">
        <w:rPr>
          <w:sz w:val="24"/>
          <w:szCs w:val="24"/>
        </w:rPr>
        <w:br/>
      </w:r>
      <w:r>
        <w:rPr>
          <w:sz w:val="24"/>
          <w:szCs w:val="24"/>
        </w:rPr>
        <w:t>____</w:t>
      </w:r>
      <w:r w:rsidRPr="00B80392">
        <w:rPr>
          <w:sz w:val="24"/>
          <w:szCs w:val="24"/>
        </w:rPr>
        <w:t>1. Complete required application requirements</w:t>
      </w:r>
    </w:p>
    <w:p w:rsidR="00BE6814" w:rsidRPr="00B80392" w:rsidRDefault="00BE6814" w:rsidP="00BE6814">
      <w:pPr>
        <w:ind w:left="0"/>
        <w:contextualSpacing w:val="0"/>
        <w:rPr>
          <w:sz w:val="24"/>
          <w:szCs w:val="24"/>
        </w:rPr>
      </w:pPr>
      <w:r>
        <w:rPr>
          <w:sz w:val="24"/>
          <w:szCs w:val="24"/>
        </w:rPr>
        <w:t>____</w:t>
      </w:r>
      <w:r w:rsidRPr="00B80392">
        <w:rPr>
          <w:sz w:val="24"/>
          <w:szCs w:val="24"/>
        </w:rPr>
        <w:t>2. Meet test score requirements (placement into English Composition I and M</w:t>
      </w:r>
      <w:r>
        <w:rPr>
          <w:sz w:val="24"/>
          <w:szCs w:val="24"/>
        </w:rPr>
        <w:t>ATT</w:t>
      </w:r>
      <w:r w:rsidRPr="00B80392">
        <w:rPr>
          <w:sz w:val="24"/>
          <w:szCs w:val="24"/>
        </w:rPr>
        <w:t xml:space="preserve"> 109/107 </w:t>
      </w:r>
      <w:r>
        <w:rPr>
          <w:sz w:val="24"/>
          <w:szCs w:val="24"/>
        </w:rPr>
        <w:br/>
        <w:t xml:space="preserve"> </w:t>
      </w:r>
      <w:r>
        <w:rPr>
          <w:sz w:val="24"/>
          <w:szCs w:val="24"/>
        </w:rPr>
        <w:tab/>
      </w:r>
      <w:r w:rsidRPr="00B80392">
        <w:rPr>
          <w:sz w:val="24"/>
          <w:szCs w:val="24"/>
        </w:rPr>
        <w:t>with no co-requisite requirement)</w:t>
      </w:r>
      <w:r>
        <w:rPr>
          <w:sz w:val="24"/>
          <w:szCs w:val="24"/>
        </w:rPr>
        <w:t xml:space="preserve">. See comment above regarding high school </w:t>
      </w:r>
      <w:r>
        <w:rPr>
          <w:sz w:val="24"/>
          <w:szCs w:val="24"/>
        </w:rPr>
        <w:br/>
        <w:t xml:space="preserve">            GPA/Algebra II.   </w:t>
      </w:r>
    </w:p>
    <w:p w:rsidR="00BE6814" w:rsidRPr="00B80392" w:rsidRDefault="00BE6814" w:rsidP="00BE6814">
      <w:pPr>
        <w:ind w:left="0"/>
        <w:contextualSpacing w:val="0"/>
        <w:rPr>
          <w:sz w:val="24"/>
          <w:szCs w:val="24"/>
        </w:rPr>
      </w:pPr>
      <w:r>
        <w:rPr>
          <w:sz w:val="24"/>
          <w:szCs w:val="24"/>
        </w:rPr>
        <w:t>____3. Have a high school GPA of 2.3</w:t>
      </w:r>
      <w:r w:rsidRPr="00B80392">
        <w:rPr>
          <w:sz w:val="24"/>
          <w:szCs w:val="24"/>
        </w:rPr>
        <w:t xml:space="preserve"> or higher</w:t>
      </w:r>
    </w:p>
    <w:p w:rsidR="00BE6814" w:rsidRDefault="00BE6814"/>
    <w:sectPr w:rsidR="00BE6814" w:rsidSect="00BE68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14"/>
    <w:rsid w:val="00735B8D"/>
    <w:rsid w:val="00A17B7C"/>
    <w:rsid w:val="00B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720CD-5D78-4931-AD50-0A4D5ED4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6814"/>
    <w:pPr>
      <w:shd w:val="clear" w:color="auto" w:fill="FFFFFF"/>
      <w:spacing w:line="240" w:lineRule="auto"/>
      <w:ind w:left="72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814"/>
    <w:pPr>
      <w:shd w:val="clear" w:color="auto" w:fill="FFFFFF"/>
      <w:spacing w:after="0" w:line="240" w:lineRule="auto"/>
      <w:ind w:left="720"/>
      <w:contextualSpacing/>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Hooten</dc:creator>
  <cp:keywords/>
  <dc:description/>
  <cp:lastModifiedBy>Owner</cp:lastModifiedBy>
  <cp:revision>2</cp:revision>
  <dcterms:created xsi:type="dcterms:W3CDTF">2019-12-17T15:01:00Z</dcterms:created>
  <dcterms:modified xsi:type="dcterms:W3CDTF">2019-12-17T15:01:00Z</dcterms:modified>
</cp:coreProperties>
</file>